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245D" w:rsidRDefault="00C6245D" w:rsidP="00C6245D">
      <w:pPr>
        <w:spacing w:after="40" w:line="240" w:lineRule="auto"/>
        <w:ind w:left="6663"/>
        <w:rPr>
          <w:rFonts w:ascii="Times New Roman" w:eastAsia="Times New Roman" w:hAnsi="Times New Roman" w:cs="Times New Roman"/>
          <w:b/>
          <w:bCs/>
          <w:lang w:eastAsia="fr-FR"/>
        </w:rPr>
      </w:pPr>
      <w:r>
        <w:rPr>
          <w:rFonts w:ascii="Times New Roman" w:eastAsia="Times New Roman" w:hAnsi="Times New Roman" w:cs="Times New Roman"/>
          <w:b/>
          <w:bCs/>
          <w:lang w:eastAsia="fr-FR"/>
        </w:rPr>
        <w:t xml:space="preserve">Saint-Malo Agglomération </w:t>
      </w:r>
    </w:p>
    <w:p w:rsidR="00C6245D" w:rsidRDefault="00C6245D" w:rsidP="00C6245D">
      <w:pPr>
        <w:spacing w:after="40" w:line="240" w:lineRule="auto"/>
        <w:ind w:left="6663"/>
        <w:rPr>
          <w:rFonts w:ascii="Times New Roman" w:eastAsia="Times New Roman" w:hAnsi="Times New Roman" w:cs="Times New Roman"/>
          <w:b/>
          <w:bCs/>
          <w:lang w:eastAsia="fr-FR"/>
        </w:rPr>
      </w:pPr>
      <w:r>
        <w:rPr>
          <w:rFonts w:ascii="Times New Roman" w:eastAsia="Times New Roman" w:hAnsi="Times New Roman" w:cs="Times New Roman"/>
          <w:b/>
          <w:bCs/>
          <w:lang w:eastAsia="fr-FR"/>
        </w:rPr>
        <w:t xml:space="preserve">6 rue de la Ville </w:t>
      </w:r>
      <w:proofErr w:type="spellStart"/>
      <w:r>
        <w:rPr>
          <w:rFonts w:ascii="Times New Roman" w:eastAsia="Times New Roman" w:hAnsi="Times New Roman" w:cs="Times New Roman"/>
          <w:b/>
          <w:bCs/>
          <w:lang w:eastAsia="fr-FR"/>
        </w:rPr>
        <w:t>Jégu</w:t>
      </w:r>
      <w:proofErr w:type="spellEnd"/>
    </w:p>
    <w:p w:rsidR="00C6245D" w:rsidRDefault="00C6245D" w:rsidP="00C6245D">
      <w:pPr>
        <w:spacing w:after="40" w:line="240" w:lineRule="auto"/>
        <w:ind w:left="6663"/>
        <w:rPr>
          <w:rFonts w:ascii="Times New Roman" w:eastAsia="Times New Roman" w:hAnsi="Times New Roman" w:cs="Times New Roman"/>
          <w:b/>
          <w:bCs/>
          <w:lang w:eastAsia="fr-FR"/>
        </w:rPr>
      </w:pPr>
      <w:r>
        <w:rPr>
          <w:rFonts w:ascii="Times New Roman" w:eastAsia="Times New Roman" w:hAnsi="Times New Roman" w:cs="Times New Roman"/>
          <w:b/>
          <w:bCs/>
          <w:lang w:eastAsia="fr-FR"/>
        </w:rPr>
        <w:t>35260 Cancale</w:t>
      </w:r>
    </w:p>
    <w:p w:rsidR="00C6245D" w:rsidRDefault="00C6245D" w:rsidP="00C6245D">
      <w:pPr>
        <w:spacing w:before="100" w:beforeAutospacing="1" w:after="100" w:afterAutospacing="1" w:line="240" w:lineRule="auto"/>
        <w:ind w:left="-567"/>
        <w:rPr>
          <w:rFonts w:ascii="Times New Roman" w:eastAsia="Times New Roman" w:hAnsi="Times New Roman" w:cs="Times New Roman"/>
          <w:b/>
          <w:bCs/>
          <w:lang w:eastAsia="fr-FR"/>
        </w:rPr>
      </w:pPr>
    </w:p>
    <w:p w:rsidR="00C6245D" w:rsidRPr="00C6245D" w:rsidRDefault="00C6245D" w:rsidP="00C6245D">
      <w:pPr>
        <w:spacing w:before="100" w:beforeAutospacing="1" w:after="100" w:afterAutospacing="1" w:line="240" w:lineRule="auto"/>
        <w:ind w:left="-567"/>
        <w:rPr>
          <w:rFonts w:ascii="Times New Roman" w:eastAsia="Times New Roman" w:hAnsi="Times New Roman" w:cs="Times New Roman"/>
          <w:lang w:eastAsia="fr-FR"/>
        </w:rPr>
      </w:pPr>
      <w:r w:rsidRPr="00C6245D">
        <w:rPr>
          <w:rFonts w:ascii="Times New Roman" w:eastAsia="Times New Roman" w:hAnsi="Times New Roman" w:cs="Times New Roman"/>
          <w:b/>
          <w:bCs/>
          <w:lang w:eastAsia="fr-FR"/>
        </w:rPr>
        <w:t xml:space="preserve">Objet : Remarques sur le dossier d’enquête publique relatif à la déclaration d’utilité publique emportant mise en compatibilité des documents d’urbanisme du projet d’aménagement de la ZAC ATALANTE. </w:t>
      </w:r>
    </w:p>
    <w:p w:rsidR="00C6245D" w:rsidRPr="00C6245D" w:rsidRDefault="00C6245D" w:rsidP="00C6245D">
      <w:pPr>
        <w:spacing w:before="100" w:beforeAutospacing="1" w:after="100" w:afterAutospacing="1" w:line="240" w:lineRule="auto"/>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A </w:t>
      </w:r>
      <w:r w:rsidRPr="00C6245D">
        <w:rPr>
          <w:rFonts w:ascii="Times New Roman" w:eastAsia="Times New Roman" w:hAnsi="Times New Roman" w:cs="Times New Roman"/>
          <w:lang w:eastAsia="fr-FR"/>
        </w:rPr>
        <w:t xml:space="preserve">Madame </w:t>
      </w:r>
      <w:proofErr w:type="spellStart"/>
      <w:r w:rsidRPr="00C6245D">
        <w:rPr>
          <w:rFonts w:ascii="Times New Roman" w:eastAsia="Times New Roman" w:hAnsi="Times New Roman" w:cs="Times New Roman"/>
          <w:lang w:eastAsia="fr-FR"/>
        </w:rPr>
        <w:t>Faysse</w:t>
      </w:r>
      <w:proofErr w:type="spellEnd"/>
      <w:r w:rsidRPr="00C6245D">
        <w:rPr>
          <w:rFonts w:ascii="Times New Roman" w:eastAsia="Times New Roman" w:hAnsi="Times New Roman" w:cs="Times New Roman"/>
          <w:lang w:eastAsia="fr-FR"/>
        </w:rPr>
        <w:t>, Commissaire enquêteur</w:t>
      </w:r>
    </w:p>
    <w:p w:rsidR="00C6245D" w:rsidRPr="00C6245D" w:rsidRDefault="00C6245D" w:rsidP="00C6245D">
      <w:pPr>
        <w:spacing w:before="100" w:beforeAutospacing="1" w:after="100" w:afterAutospacing="1" w:line="240" w:lineRule="auto"/>
        <w:rPr>
          <w:rFonts w:ascii="Times New Roman" w:eastAsia="Times New Roman" w:hAnsi="Times New Roman" w:cs="Times New Roman"/>
          <w:lang w:eastAsia="fr-FR"/>
        </w:rPr>
      </w:pPr>
      <w:r w:rsidRPr="00C6245D">
        <w:rPr>
          <w:rFonts w:ascii="Times New Roman" w:eastAsia="Times New Roman" w:hAnsi="Times New Roman" w:cs="Times New Roman"/>
          <w:lang w:eastAsia="fr-FR"/>
        </w:rPr>
        <w:t>Je soussigné</w:t>
      </w:r>
      <w:r w:rsidR="007C31AC">
        <w:rPr>
          <w:rFonts w:ascii="Times New Roman" w:eastAsia="Times New Roman" w:hAnsi="Times New Roman" w:cs="Times New Roman"/>
          <w:lang w:eastAsia="fr-FR"/>
        </w:rPr>
        <w:t xml:space="preserve"> (e)</w:t>
      </w:r>
      <w:r w:rsidRPr="00C6245D">
        <w:rPr>
          <w:rFonts w:ascii="Times New Roman" w:eastAsia="Times New Roman" w:hAnsi="Times New Roman" w:cs="Times New Roman"/>
          <w:lang w:eastAsia="fr-FR"/>
        </w:rPr>
        <w:t xml:space="preserve"> (</w:t>
      </w:r>
      <w:r w:rsidRPr="00C6245D">
        <w:rPr>
          <w:rFonts w:ascii="Times New Roman" w:eastAsia="Times New Roman" w:hAnsi="Times New Roman" w:cs="Times New Roman"/>
          <w:i/>
          <w:iCs/>
          <w:lang w:eastAsia="fr-FR"/>
        </w:rPr>
        <w:t xml:space="preserve">nom </w:t>
      </w:r>
      <w:proofErr w:type="gramStart"/>
      <w:r w:rsidRPr="00C6245D">
        <w:rPr>
          <w:rFonts w:ascii="Times New Roman" w:eastAsia="Times New Roman" w:hAnsi="Times New Roman" w:cs="Times New Roman"/>
          <w:i/>
          <w:iCs/>
          <w:lang w:eastAsia="fr-FR"/>
        </w:rPr>
        <w:t>prénom</w:t>
      </w:r>
      <w:r w:rsidRPr="00C6245D">
        <w:rPr>
          <w:rFonts w:ascii="Times New Roman" w:eastAsia="Times New Roman" w:hAnsi="Times New Roman" w:cs="Times New Roman"/>
          <w:lang w:eastAsia="fr-FR"/>
        </w:rPr>
        <w:t xml:space="preserve"> )</w:t>
      </w:r>
      <w:proofErr w:type="gramEnd"/>
      <w:r w:rsidRPr="00C6245D">
        <w:rPr>
          <w:rFonts w:ascii="Times New Roman" w:eastAsia="Times New Roman" w:hAnsi="Times New Roman" w:cs="Times New Roman"/>
          <w:lang w:eastAsia="fr-FR"/>
        </w:rPr>
        <w:t xml:space="preserve">, résidant ( </w:t>
      </w:r>
      <w:r w:rsidRPr="00C6245D">
        <w:rPr>
          <w:rFonts w:ascii="Times New Roman" w:eastAsia="Times New Roman" w:hAnsi="Times New Roman" w:cs="Times New Roman"/>
          <w:i/>
          <w:iCs/>
          <w:lang w:eastAsia="fr-FR"/>
        </w:rPr>
        <w:t>adresse</w:t>
      </w:r>
      <w:r w:rsidRPr="00C6245D">
        <w:rPr>
          <w:rFonts w:ascii="Times New Roman" w:eastAsia="Times New Roman" w:hAnsi="Times New Roman" w:cs="Times New Roman"/>
          <w:lang w:eastAsia="fr-FR"/>
        </w:rPr>
        <w:t>), m’oppose à la modification de la zone d’aménagement concertée d’Atalante et à ce que l’utilité publique soit accordée à ce projet dans sa définition actuelle. Mes raisons sont les suivantes :</w:t>
      </w:r>
    </w:p>
    <w:p w:rsidR="00C6245D" w:rsidRPr="00C6245D" w:rsidRDefault="00C6245D" w:rsidP="00C6245D">
      <w:pPr>
        <w:numPr>
          <w:ilvl w:val="0"/>
          <w:numId w:val="1"/>
        </w:numPr>
        <w:spacing w:before="100" w:beforeAutospacing="1" w:after="100" w:afterAutospacing="1" w:line="240" w:lineRule="auto"/>
        <w:rPr>
          <w:rFonts w:ascii="Times New Roman" w:eastAsia="Times New Roman" w:hAnsi="Times New Roman" w:cs="Times New Roman"/>
          <w:lang w:eastAsia="fr-FR"/>
        </w:rPr>
      </w:pPr>
      <w:r w:rsidRPr="00C6245D">
        <w:rPr>
          <w:rFonts w:ascii="Times New Roman" w:eastAsia="Times New Roman" w:hAnsi="Times New Roman" w:cs="Times New Roman"/>
          <w:lang w:eastAsia="fr-FR"/>
        </w:rPr>
        <w:t>Le commerce ne doit pas s’étendre aux portes de la ville. L’utilité publique ne peut consister à contribuer à la dévitalisation de la ville ou à sa spécialisation touristique.</w:t>
      </w:r>
    </w:p>
    <w:p w:rsidR="00C6245D" w:rsidRPr="00C6245D" w:rsidRDefault="00C6245D" w:rsidP="00C6245D">
      <w:pPr>
        <w:numPr>
          <w:ilvl w:val="0"/>
          <w:numId w:val="1"/>
        </w:numPr>
        <w:spacing w:before="100" w:beforeAutospacing="1" w:after="100" w:afterAutospacing="1" w:line="240" w:lineRule="auto"/>
        <w:rPr>
          <w:rFonts w:ascii="Times New Roman" w:eastAsia="Times New Roman" w:hAnsi="Times New Roman" w:cs="Times New Roman"/>
          <w:lang w:eastAsia="fr-FR"/>
        </w:rPr>
      </w:pPr>
      <w:r w:rsidRPr="00C6245D">
        <w:rPr>
          <w:rFonts w:ascii="Times New Roman" w:eastAsia="Times New Roman" w:hAnsi="Times New Roman" w:cs="Times New Roman"/>
          <w:lang w:eastAsia="fr-FR"/>
        </w:rPr>
        <w:t>Au moment où le gouvernement lance un plan de revitalisation des villes moyennes à renfort de milliards d’euros, il ne peut y avoir d’utilité publique pour reproduire à Saint-Malo les erreurs commises ailleurs. La zone Atalante doit rester affectée aux entreprises et par modification à la piscine communautaire. Les projets de salles de spectacle, de zones de loisir et de tous les types de commerce doivent être exclus.</w:t>
      </w:r>
    </w:p>
    <w:p w:rsidR="00C6245D" w:rsidRPr="00C6245D" w:rsidRDefault="00C6245D" w:rsidP="00C6245D">
      <w:pPr>
        <w:numPr>
          <w:ilvl w:val="0"/>
          <w:numId w:val="1"/>
        </w:numPr>
        <w:spacing w:before="100" w:beforeAutospacing="1" w:after="100" w:afterAutospacing="1" w:line="240" w:lineRule="auto"/>
        <w:rPr>
          <w:rFonts w:ascii="Times New Roman" w:eastAsia="Times New Roman" w:hAnsi="Times New Roman" w:cs="Times New Roman"/>
          <w:lang w:eastAsia="fr-FR"/>
        </w:rPr>
      </w:pPr>
      <w:r w:rsidRPr="00C6245D">
        <w:rPr>
          <w:rFonts w:ascii="Times New Roman" w:eastAsia="Times New Roman" w:hAnsi="Times New Roman" w:cs="Times New Roman"/>
          <w:lang w:eastAsia="fr-FR"/>
        </w:rPr>
        <w:t>La zone Atalante est prévue pour l’implantation des entreprises pour les 25 prochaines années. Seule la piscine doit pouvoir y prendre place, et la première vocation doit être maintenue pour ne pas livrer l’avenir de Saint-Malo aux seul</w:t>
      </w:r>
      <w:r w:rsidR="007C31AC">
        <w:rPr>
          <w:rFonts w:ascii="Times New Roman" w:eastAsia="Times New Roman" w:hAnsi="Times New Roman" w:cs="Times New Roman"/>
          <w:lang w:eastAsia="fr-FR"/>
        </w:rPr>
        <w:t>e</w:t>
      </w:r>
      <w:bookmarkStart w:id="0" w:name="_GoBack"/>
      <w:bookmarkEnd w:id="0"/>
      <w:r w:rsidRPr="00C6245D">
        <w:rPr>
          <w:rFonts w:ascii="Times New Roman" w:eastAsia="Times New Roman" w:hAnsi="Times New Roman" w:cs="Times New Roman"/>
          <w:lang w:eastAsia="fr-FR"/>
        </w:rPr>
        <w:t>s activités du grand commerce et du tourisme.</w:t>
      </w:r>
    </w:p>
    <w:p w:rsidR="00C6245D" w:rsidRPr="00C6245D" w:rsidRDefault="00C6245D" w:rsidP="00C6245D">
      <w:pPr>
        <w:numPr>
          <w:ilvl w:val="0"/>
          <w:numId w:val="1"/>
        </w:numPr>
        <w:spacing w:before="100" w:beforeAutospacing="1" w:after="100" w:afterAutospacing="1" w:line="240" w:lineRule="auto"/>
        <w:rPr>
          <w:rFonts w:ascii="Times New Roman" w:eastAsia="Times New Roman" w:hAnsi="Times New Roman" w:cs="Times New Roman"/>
          <w:lang w:eastAsia="fr-FR"/>
        </w:rPr>
      </w:pPr>
      <w:r w:rsidRPr="00C6245D">
        <w:rPr>
          <w:rFonts w:ascii="Times New Roman" w:eastAsia="Times New Roman" w:hAnsi="Times New Roman" w:cs="Times New Roman"/>
          <w:lang w:eastAsia="fr-FR"/>
        </w:rPr>
        <w:t>Les terrains agricoles supprimés à l’occasion de la création de la zone Atalante ne doivent pas servir, in fine, à multiplier les zones de commerces ou de tourisme. L’utilité publique ne peut servir à détruire des exploitations agricoles au motif de développement de l’activité industrielle pour ensuite faire place au commerce et au tourisme que les élus favorisent. La zone Atalante ne doit pas changer de vocation, elle doit accessoirement permettre la construction de la piscine.</w:t>
      </w:r>
    </w:p>
    <w:p w:rsidR="00C6245D" w:rsidRPr="00C6245D" w:rsidRDefault="00C6245D" w:rsidP="00C6245D">
      <w:pPr>
        <w:numPr>
          <w:ilvl w:val="0"/>
          <w:numId w:val="1"/>
        </w:numPr>
        <w:spacing w:before="100" w:beforeAutospacing="1" w:after="100" w:afterAutospacing="1" w:line="240" w:lineRule="auto"/>
        <w:rPr>
          <w:rFonts w:ascii="Times New Roman" w:eastAsia="Times New Roman" w:hAnsi="Times New Roman" w:cs="Times New Roman"/>
          <w:lang w:eastAsia="fr-FR"/>
        </w:rPr>
      </w:pPr>
      <w:r w:rsidRPr="00C6245D">
        <w:rPr>
          <w:rFonts w:ascii="Times New Roman" w:eastAsia="Times New Roman" w:hAnsi="Times New Roman" w:cs="Times New Roman"/>
          <w:lang w:eastAsia="fr-FR"/>
        </w:rPr>
        <w:t>La transparence doit être faite sur le montant des investissements pris en charge par les collectivités en fonction de leurs intérêts (pénétrante dans Saint-Malo). L’utilité publique ne peut être accordée sans information financière mise à disposition du public, alors que les éléments existent. L’utilité publique ne peut être accordée sur un dossier qui ne comprend pas le bilan prévu pour la ZAC alors que les éléments existent, par le fait de leur absence au dossier, ils sont cachés au public.</w:t>
      </w:r>
    </w:p>
    <w:p w:rsidR="00C6245D" w:rsidRPr="00C6245D" w:rsidRDefault="00C6245D" w:rsidP="00C6245D">
      <w:pPr>
        <w:numPr>
          <w:ilvl w:val="0"/>
          <w:numId w:val="1"/>
        </w:numPr>
        <w:spacing w:before="100" w:beforeAutospacing="1" w:after="100" w:afterAutospacing="1" w:line="240" w:lineRule="auto"/>
        <w:rPr>
          <w:rFonts w:ascii="Times New Roman" w:eastAsia="Times New Roman" w:hAnsi="Times New Roman" w:cs="Times New Roman"/>
          <w:lang w:eastAsia="fr-FR"/>
        </w:rPr>
      </w:pPr>
      <w:r w:rsidRPr="00C6245D">
        <w:rPr>
          <w:rFonts w:ascii="Times New Roman" w:eastAsia="Times New Roman" w:hAnsi="Times New Roman" w:cs="Times New Roman"/>
          <w:lang w:eastAsia="fr-FR"/>
        </w:rPr>
        <w:t>Le règlement de la zone est trop imprécis pour permettre d’éviter le risque de contentieux gagnant pour des entreprises commerciales. L’utilité publique ne peut être reconnue sur la base d’un règlement qui ne tient pas compte du décret n° 2015-1783 du 28 décembre 2015, complété par l’arrêté du 10 novembre 2016.</w:t>
      </w:r>
    </w:p>
    <w:p w:rsidR="00C6245D" w:rsidRPr="00C6245D" w:rsidRDefault="00C6245D" w:rsidP="00C6245D">
      <w:pPr>
        <w:numPr>
          <w:ilvl w:val="0"/>
          <w:numId w:val="1"/>
        </w:numPr>
        <w:spacing w:before="100" w:beforeAutospacing="1" w:after="100" w:afterAutospacing="1" w:line="240" w:lineRule="auto"/>
        <w:rPr>
          <w:rFonts w:ascii="Times New Roman" w:eastAsia="Times New Roman" w:hAnsi="Times New Roman" w:cs="Times New Roman"/>
          <w:lang w:eastAsia="fr-FR"/>
        </w:rPr>
      </w:pPr>
      <w:r w:rsidRPr="00C6245D">
        <w:rPr>
          <w:rFonts w:ascii="Times New Roman" w:eastAsia="Times New Roman" w:hAnsi="Times New Roman" w:cs="Times New Roman"/>
          <w:lang w:eastAsia="fr-FR"/>
        </w:rPr>
        <w:t>La modification de la vocation de la zone ne s’appuie sur aucune étude autre que le bilan de la zone actuelle prévue pour 25 ans et inaugurée il y a 5 ans. Le bureau d’étude qui a fait le bilan de la zone n’a pas de compétence ou de spécialité dans les domaines permettant d’évaluer correctement l’impact du changement de vocation de la ZAC sur les structures commerciales, culturelles ou artistiques existantes. L’utilité publique ne se décrète pas, elle se justifie et ne peut être accordée sur la base de la seule volonté d’élus mal informés et sans justification dans le dossier d’enquête mis à disposition du public.</w:t>
      </w:r>
    </w:p>
    <w:p w:rsidR="00C6245D" w:rsidRPr="00C6245D" w:rsidRDefault="00C6245D" w:rsidP="00C6245D">
      <w:pPr>
        <w:spacing w:before="100" w:beforeAutospacing="1" w:after="100" w:afterAutospacing="1" w:line="240" w:lineRule="auto"/>
        <w:rPr>
          <w:rFonts w:ascii="Times New Roman" w:eastAsia="Times New Roman" w:hAnsi="Times New Roman" w:cs="Times New Roman"/>
          <w:lang w:eastAsia="fr-FR"/>
        </w:rPr>
      </w:pPr>
      <w:r w:rsidRPr="00C6245D">
        <w:rPr>
          <w:rFonts w:ascii="Times New Roman" w:eastAsia="Times New Roman" w:hAnsi="Times New Roman" w:cs="Times New Roman"/>
          <w:lang w:eastAsia="fr-FR"/>
        </w:rPr>
        <w:t>Je vous prie de bien vouloir prendre en compte la présente et l’ajouter au registre ouvert au public à l’occasion de cette enquête.</w:t>
      </w:r>
    </w:p>
    <w:p w:rsidR="00C6245D" w:rsidRPr="00C6245D" w:rsidRDefault="00C6245D" w:rsidP="00C6245D">
      <w:pPr>
        <w:spacing w:before="100" w:beforeAutospacing="1" w:after="100" w:afterAutospacing="1" w:line="240" w:lineRule="auto"/>
        <w:jc w:val="center"/>
        <w:rPr>
          <w:rFonts w:ascii="Times New Roman" w:eastAsia="Times New Roman" w:hAnsi="Times New Roman" w:cs="Times New Roman"/>
          <w:lang w:eastAsia="fr-FR"/>
        </w:rPr>
      </w:pPr>
      <w:r w:rsidRPr="00C6245D">
        <w:rPr>
          <w:rFonts w:ascii="Times New Roman" w:eastAsia="Times New Roman" w:hAnsi="Times New Roman" w:cs="Times New Roman"/>
          <w:lang w:eastAsia="fr-FR"/>
        </w:rPr>
        <w:t xml:space="preserve">  Le …  </w:t>
      </w:r>
      <w:proofErr w:type="gramStart"/>
      <w:r w:rsidRPr="00C6245D">
        <w:rPr>
          <w:rFonts w:ascii="Times New Roman" w:eastAsia="Times New Roman" w:hAnsi="Times New Roman" w:cs="Times New Roman"/>
          <w:lang w:eastAsia="fr-FR"/>
        </w:rPr>
        <w:t>janvier</w:t>
      </w:r>
      <w:proofErr w:type="gramEnd"/>
      <w:r w:rsidRPr="00C6245D">
        <w:rPr>
          <w:rFonts w:ascii="Times New Roman" w:eastAsia="Times New Roman" w:hAnsi="Times New Roman" w:cs="Times New Roman"/>
          <w:lang w:eastAsia="fr-FR"/>
        </w:rPr>
        <w:t xml:space="preserve"> 2018 à</w:t>
      </w:r>
    </w:p>
    <w:p w:rsidR="00C6245D" w:rsidRPr="00C6245D" w:rsidRDefault="00C6245D" w:rsidP="00C6245D">
      <w:pPr>
        <w:spacing w:before="100" w:beforeAutospacing="1" w:after="100" w:afterAutospacing="1" w:line="240" w:lineRule="auto"/>
        <w:jc w:val="center"/>
        <w:rPr>
          <w:rFonts w:ascii="Times New Roman" w:eastAsia="Times New Roman" w:hAnsi="Times New Roman" w:cs="Times New Roman"/>
          <w:lang w:eastAsia="fr-FR"/>
        </w:rPr>
      </w:pPr>
      <w:r w:rsidRPr="00C6245D">
        <w:rPr>
          <w:rFonts w:ascii="Times New Roman" w:eastAsia="Times New Roman" w:hAnsi="Times New Roman" w:cs="Times New Roman"/>
          <w:lang w:eastAsia="fr-FR"/>
        </w:rPr>
        <w:t>(</w:t>
      </w:r>
      <w:proofErr w:type="gramStart"/>
      <w:r w:rsidRPr="00C6245D">
        <w:rPr>
          <w:rFonts w:ascii="Times New Roman" w:eastAsia="Times New Roman" w:hAnsi="Times New Roman" w:cs="Times New Roman"/>
          <w:lang w:eastAsia="fr-FR"/>
        </w:rPr>
        <w:t>signature</w:t>
      </w:r>
      <w:proofErr w:type="gramEnd"/>
      <w:r w:rsidRPr="00C6245D">
        <w:rPr>
          <w:rFonts w:ascii="Times New Roman" w:eastAsia="Times New Roman" w:hAnsi="Times New Roman" w:cs="Times New Roman"/>
          <w:lang w:eastAsia="fr-FR"/>
        </w:rPr>
        <w:t>)</w:t>
      </w:r>
    </w:p>
    <w:sectPr w:rsidR="00C6245D" w:rsidRPr="00C6245D" w:rsidSect="00C6245D">
      <w:pgSz w:w="11906" w:h="16838"/>
      <w:pgMar w:top="1417" w:right="849"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997D6A"/>
    <w:multiLevelType w:val="multilevel"/>
    <w:tmpl w:val="1E52B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45D"/>
    <w:rsid w:val="007C31AC"/>
    <w:rsid w:val="00C624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96D17"/>
  <w15:chartTrackingRefBased/>
  <w15:docId w15:val="{8C608C09-65C9-4CA0-8EC0-C7589EE03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225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540</Words>
  <Characters>2973</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 GUILLARD</dc:creator>
  <cp:keywords/>
  <dc:description/>
  <cp:lastModifiedBy>ALAIN GUILLARD</cp:lastModifiedBy>
  <cp:revision>2</cp:revision>
  <dcterms:created xsi:type="dcterms:W3CDTF">2018-01-14T09:46:00Z</dcterms:created>
  <dcterms:modified xsi:type="dcterms:W3CDTF">2018-01-14T11:12:00Z</dcterms:modified>
</cp:coreProperties>
</file>